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8031C1">
        <w:rPr>
          <w:rFonts w:ascii="Times New Roman" w:hAnsi="Times New Roman"/>
          <w:sz w:val="24"/>
          <w:szCs w:val="24"/>
        </w:rPr>
        <w:t xml:space="preserve">Ильинского 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0E1893" w:rsidP="00DE38D0">
      <w:pPr>
        <w:pStyle w:val="aa"/>
        <w:ind w:left="5103"/>
        <w:jc w:val="right"/>
        <w:rPr>
          <w:rFonts w:ascii="Times New Roman" w:hAnsi="Times New Roman"/>
          <w:sz w:val="24"/>
          <w:szCs w:val="24"/>
        </w:rPr>
      </w:pPr>
      <w:r>
        <w:rPr>
          <w:rFonts w:ascii="Times New Roman" w:hAnsi="Times New Roman"/>
          <w:sz w:val="24"/>
          <w:szCs w:val="24"/>
        </w:rPr>
        <w:t>от 28.12.2015 года</w:t>
      </w:r>
      <w:r w:rsidR="008031C1">
        <w:rPr>
          <w:rFonts w:ascii="Times New Roman" w:hAnsi="Times New Roman"/>
          <w:sz w:val="24"/>
          <w:szCs w:val="24"/>
        </w:rPr>
        <w:t xml:space="preserve"> </w:t>
      </w:r>
      <w:r>
        <w:rPr>
          <w:rFonts w:ascii="Times New Roman" w:hAnsi="Times New Roman"/>
          <w:sz w:val="24"/>
          <w:szCs w:val="24"/>
        </w:rPr>
        <w:t>№ 78</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0" w:name="Par85"/>
      <w:bookmarkEnd w:id="0"/>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r w:rsidR="008031C1">
        <w:rPr>
          <w:rFonts w:ascii="Times New Roman" w:hAnsi="Times New Roman"/>
          <w:b/>
          <w:sz w:val="24"/>
          <w:szCs w:val="24"/>
        </w:rPr>
        <w:t>Ильинское 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8031C1" w:rsidRPr="008031C1">
        <w:rPr>
          <w:rFonts w:ascii="Times New Roman" w:hAnsi="Times New Roman"/>
          <w:color w:val="FF0000"/>
          <w:sz w:val="24"/>
          <w:szCs w:val="24"/>
        </w:rPr>
        <w:t>Ильинское 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8"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8031C1">
        <w:rPr>
          <w:rFonts w:ascii="Times New Roman" w:hAnsi="Times New Roman"/>
          <w:color w:val="FF0000"/>
          <w:sz w:val="24"/>
          <w:szCs w:val="24"/>
        </w:rPr>
        <w:t>Ильинского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1"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2" w:name="sub_2017"/>
      <w:bookmarkEnd w:id="1"/>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3" w:name="sub_2018"/>
      <w:bookmarkEnd w:id="2"/>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4" w:name="sub_2019"/>
      <w:bookmarkEnd w:id="3"/>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5" w:name="sub_2005"/>
      <w:bookmarkEnd w:id="4"/>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6" w:name="sub_2020"/>
      <w:bookmarkEnd w:id="5"/>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7" w:name="sub_2021"/>
      <w:bookmarkEnd w:id="6"/>
      <w:r w:rsidRPr="00643DC9">
        <w:rPr>
          <w:rFonts w:ascii="Times New Roman" w:hAnsi="Times New Roman"/>
          <w:sz w:val="24"/>
          <w:szCs w:val="24"/>
        </w:rPr>
        <w:lastRenderedPageBreak/>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8" w:name="sub_2022"/>
      <w:bookmarkEnd w:id="7"/>
      <w:r w:rsidRPr="00643DC9">
        <w:rPr>
          <w:rFonts w:ascii="Times New Roman" w:hAnsi="Times New Roman"/>
          <w:sz w:val="24"/>
          <w:szCs w:val="24"/>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9" w:name="sub_2023"/>
      <w:bookmarkEnd w:id="8"/>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0" w:name="sub_2006"/>
      <w:bookmarkEnd w:id="9"/>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1" w:name="sub_2024"/>
      <w:bookmarkEnd w:id="10"/>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9"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2" w:name="sub_2025"/>
      <w:bookmarkEnd w:id="11"/>
      <w:r w:rsidRPr="00643DC9">
        <w:rPr>
          <w:rFonts w:ascii="Times New Roman" w:hAnsi="Times New Roman"/>
          <w:sz w:val="24"/>
          <w:szCs w:val="24"/>
        </w:rPr>
        <w:t xml:space="preserve">б) положений </w:t>
      </w:r>
      <w:hyperlink r:id="rId11"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3" w:name="sub_2026"/>
      <w:bookmarkEnd w:id="12"/>
      <w:r w:rsidRPr="00643DC9">
        <w:rPr>
          <w:rFonts w:ascii="Times New Roman" w:hAnsi="Times New Roman"/>
          <w:sz w:val="24"/>
          <w:szCs w:val="24"/>
        </w:rPr>
        <w:t xml:space="preserve">в) принципа обеспечения конкуренции, определенного </w:t>
      </w:r>
      <w:hyperlink r:id="rId12"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3"/>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3"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4" w:name="P30"/>
      <w:bookmarkEnd w:id="14"/>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w:t>
      </w:r>
      <w:r w:rsidRPr="009251CB">
        <w:rPr>
          <w:rFonts w:ascii="Times New Roman" w:hAnsi="Times New Roman"/>
          <w:sz w:val="24"/>
          <w:szCs w:val="24"/>
        </w:rPr>
        <w:lastRenderedPageBreak/>
        <w:t xml:space="preserve">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4"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8031C1">
        <w:rPr>
          <w:rFonts w:ascii="Times New Roman" w:hAnsi="Times New Roman"/>
          <w:color w:val="FF0000"/>
          <w:sz w:val="24"/>
          <w:szCs w:val="24"/>
        </w:rPr>
        <w:t>Ильинского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0E1893">
        <w:rPr>
          <w:rFonts w:ascii="Times New Roman" w:hAnsi="Times New Roman"/>
          <w:sz w:val="24"/>
          <w:szCs w:val="24"/>
        </w:rPr>
        <w:t>от 28.12.</w:t>
      </w:r>
      <w:r w:rsidR="008031C1">
        <w:rPr>
          <w:rFonts w:ascii="Times New Roman" w:hAnsi="Times New Roman"/>
          <w:sz w:val="24"/>
          <w:szCs w:val="24"/>
        </w:rPr>
        <w:t>2015</w:t>
      </w:r>
      <w:r w:rsidR="000E1893">
        <w:rPr>
          <w:rFonts w:ascii="Times New Roman" w:hAnsi="Times New Roman"/>
          <w:sz w:val="24"/>
          <w:szCs w:val="24"/>
        </w:rPr>
        <w:t>г. № 77</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0259FE">
        <w:rPr>
          <w:rFonts w:ascii="Times New Roman" w:hAnsi="Times New Roman"/>
          <w:color w:val="FF0000"/>
          <w:sz w:val="24"/>
          <w:szCs w:val="24"/>
        </w:rPr>
        <w:t>Ильинского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5"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5"/>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6" w:name="_GoBack"/>
      <w:bookmarkEnd w:id="16"/>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0259FE">
        <w:rPr>
          <w:rFonts w:ascii="Times New Roman" w:hAnsi="Times New Roman"/>
          <w:sz w:val="24"/>
          <w:szCs w:val="24"/>
        </w:rPr>
        <w:t>Ильинское 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5"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7" w:name="Par1026"/>
      <w:bookmarkEnd w:id="17"/>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7"/>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19" w:rsidRDefault="002F6C19">
      <w:pPr>
        <w:spacing w:after="0" w:line="240" w:lineRule="auto"/>
      </w:pPr>
      <w:r>
        <w:separator/>
      </w:r>
    </w:p>
  </w:endnote>
  <w:endnote w:type="continuationSeparator" w:id="1">
    <w:p w:rsidR="002F6C19" w:rsidRDefault="002F6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19" w:rsidRDefault="002F6C19">
      <w:pPr>
        <w:spacing w:after="0" w:line="240" w:lineRule="auto"/>
      </w:pPr>
      <w:r>
        <w:separator/>
      </w:r>
    </w:p>
  </w:footnote>
  <w:footnote w:type="continuationSeparator" w:id="1">
    <w:p w:rsidR="002F6C19" w:rsidRDefault="002F6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7129B"/>
    <w:rsid w:val="000801EB"/>
    <w:rsid w:val="000825E9"/>
    <w:rsid w:val="00085001"/>
    <w:rsid w:val="00085EC8"/>
    <w:rsid w:val="00087FC1"/>
    <w:rsid w:val="000919A5"/>
    <w:rsid w:val="00091C57"/>
    <w:rsid w:val="000A0155"/>
    <w:rsid w:val="000A3A1C"/>
    <w:rsid w:val="000A3AAD"/>
    <w:rsid w:val="000A49EF"/>
    <w:rsid w:val="000A538F"/>
    <w:rsid w:val="000A6853"/>
    <w:rsid w:val="000A6E78"/>
    <w:rsid w:val="000C0714"/>
    <w:rsid w:val="000C0F65"/>
    <w:rsid w:val="000C1E07"/>
    <w:rsid w:val="000C464B"/>
    <w:rsid w:val="000C7A61"/>
    <w:rsid w:val="000D06CA"/>
    <w:rsid w:val="000D604D"/>
    <w:rsid w:val="000E1893"/>
    <w:rsid w:val="000E471D"/>
    <w:rsid w:val="000E6D51"/>
    <w:rsid w:val="000F3C3B"/>
    <w:rsid w:val="00100CFA"/>
    <w:rsid w:val="00101353"/>
    <w:rsid w:val="00115BAB"/>
    <w:rsid w:val="00123779"/>
    <w:rsid w:val="0012537D"/>
    <w:rsid w:val="00154D8D"/>
    <w:rsid w:val="00166874"/>
    <w:rsid w:val="001732FA"/>
    <w:rsid w:val="00174579"/>
    <w:rsid w:val="001860E5"/>
    <w:rsid w:val="00190355"/>
    <w:rsid w:val="001A1BD9"/>
    <w:rsid w:val="001B07F2"/>
    <w:rsid w:val="001C1070"/>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6C19"/>
    <w:rsid w:val="002F794A"/>
    <w:rsid w:val="00303FB6"/>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D4D"/>
    <w:rsid w:val="00551038"/>
    <w:rsid w:val="005548F6"/>
    <w:rsid w:val="005564F8"/>
    <w:rsid w:val="00574E4F"/>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6AE2"/>
    <w:rsid w:val="005F474E"/>
    <w:rsid w:val="00600B50"/>
    <w:rsid w:val="0060175A"/>
    <w:rsid w:val="00604666"/>
    <w:rsid w:val="0060639A"/>
    <w:rsid w:val="00617486"/>
    <w:rsid w:val="0062332A"/>
    <w:rsid w:val="00624062"/>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A115E"/>
    <w:rsid w:val="00AA1D35"/>
    <w:rsid w:val="00AA6269"/>
    <w:rsid w:val="00AA666C"/>
    <w:rsid w:val="00AB6896"/>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3B13"/>
    <w:rsid w:val="00ED354B"/>
    <w:rsid w:val="00ED6AD6"/>
    <w:rsid w:val="00ED76FC"/>
    <w:rsid w:val="00EE3040"/>
    <w:rsid w:val="00EE663A"/>
    <w:rsid w:val="00F07C15"/>
    <w:rsid w:val="00F108D0"/>
    <w:rsid w:val="00F150C1"/>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F6A41AB6D7CDA9338A83A60CD2EC2C10FF009E30488BCF7774C9B7FHDy6B" TargetMode="External"/><Relationship Id="rId13" Type="http://schemas.openxmlformats.org/officeDocument/2006/relationships/hyperlink" Target="consultantplus://offline/ref=B94F6A41AB6D7CDA9338A83A60CD2EC2C103F60EE70A88BCF7774C9B7FD61399E77A1A72A270C328H9yD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7333507CE334DEF5ECEAD6D135C599DF86A2C80C10874CEE644E3AF0G9E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3" TargetMode="External"/><Relationship Id="rId5" Type="http://schemas.openxmlformats.org/officeDocument/2006/relationships/webSettings" Target="webSettings.xml"/><Relationship Id="rId15" Type="http://schemas.openxmlformats.org/officeDocument/2006/relationships/hyperlink" Target="consultantplus://offline/ref=997333507CE334DEF5ECEAD6D135C599DF84A6CD0E1C874CEE644E3AF0G9ECG" TargetMode="External"/><Relationship Id="rId10" Type="http://schemas.openxmlformats.org/officeDocument/2006/relationships/hyperlink" Target="garantF1://1202535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1109.3" TargetMode="External"/><Relationship Id="rId14" Type="http://schemas.openxmlformats.org/officeDocument/2006/relationships/hyperlink" Target="consultantplus://offline/ref=B94F6A41AB6D7CDA9338A83A60CD2EC2C10DF40CE10888BCF7774C9B7FHDy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449B-8AE3-424A-898D-7A3FA739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Redaktor</cp:lastModifiedBy>
  <cp:revision>2</cp:revision>
  <cp:lastPrinted>2015-11-25T10:02:00Z</cp:lastPrinted>
  <dcterms:created xsi:type="dcterms:W3CDTF">2019-01-22T06:24:00Z</dcterms:created>
  <dcterms:modified xsi:type="dcterms:W3CDTF">2019-01-22T06:24:00Z</dcterms:modified>
</cp:coreProperties>
</file>